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B983" w14:textId="77777777" w:rsidR="001A04E5" w:rsidRDefault="001A04E5" w:rsidP="001A04E5">
      <w:pPr>
        <w:pStyle w:val="a7"/>
        <w:numPr>
          <w:ilvl w:val="0"/>
          <w:numId w:val="1"/>
        </w:numPr>
        <w:spacing w:line="276" w:lineRule="auto"/>
        <w:ind w:left="0" w:firstLine="709"/>
        <w:jc w:val="both"/>
        <w:rPr>
          <w:sz w:val="24"/>
          <w:szCs w:val="24"/>
        </w:rPr>
      </w:pPr>
      <w:r w:rsidRPr="00355F3E">
        <w:rPr>
          <w:sz w:val="24"/>
          <w:szCs w:val="24"/>
        </w:rPr>
        <w:t xml:space="preserve">По направлению </w:t>
      </w:r>
      <w:r w:rsidRPr="00355F3E">
        <w:rPr>
          <w:b/>
          <w:i/>
          <w:sz w:val="24"/>
          <w:szCs w:val="24"/>
        </w:rPr>
        <w:t>«Теневой театр»</w:t>
      </w:r>
      <w:r w:rsidRPr="00355F3E">
        <w:rPr>
          <w:sz w:val="24"/>
          <w:szCs w:val="24"/>
        </w:rPr>
        <w:t xml:space="preserve">: отобрали две сказки (мансийскую сказку </w:t>
      </w:r>
      <w:r>
        <w:rPr>
          <w:sz w:val="24"/>
          <w:szCs w:val="24"/>
        </w:rPr>
        <w:t>«</w:t>
      </w:r>
      <w:r w:rsidRPr="00355F3E">
        <w:rPr>
          <w:sz w:val="24"/>
          <w:szCs w:val="24"/>
        </w:rPr>
        <w:t>Как Луна на Землю приходила</w:t>
      </w:r>
      <w:r>
        <w:rPr>
          <w:sz w:val="24"/>
          <w:szCs w:val="24"/>
        </w:rPr>
        <w:t>»</w:t>
      </w:r>
      <w:r w:rsidRPr="00355F3E">
        <w:rPr>
          <w:sz w:val="24"/>
          <w:szCs w:val="24"/>
        </w:rPr>
        <w:t xml:space="preserve"> и зырянскую сказку </w:t>
      </w:r>
      <w:r>
        <w:rPr>
          <w:sz w:val="24"/>
          <w:szCs w:val="24"/>
        </w:rPr>
        <w:t>«</w:t>
      </w:r>
      <w:r w:rsidRPr="00355F3E">
        <w:rPr>
          <w:sz w:val="24"/>
          <w:szCs w:val="24"/>
        </w:rPr>
        <w:t>Олень</w:t>
      </w:r>
      <w:r>
        <w:rPr>
          <w:sz w:val="24"/>
          <w:szCs w:val="24"/>
        </w:rPr>
        <w:t>»</w:t>
      </w:r>
      <w:r w:rsidRPr="00355F3E">
        <w:rPr>
          <w:sz w:val="24"/>
          <w:szCs w:val="24"/>
        </w:rPr>
        <w:t>) для создания теневого театра.</w:t>
      </w:r>
      <w:r>
        <w:rPr>
          <w:sz w:val="24"/>
          <w:szCs w:val="24"/>
        </w:rPr>
        <w:t xml:space="preserve"> Для того чтобы отобрать сказки, привлекли местное сообщество, провели работу с родителями воспитанников детского сада, а также с бабушками, с носителями культуры. Старшее поколение с удовольствием поведали детям мансийские и зырянские сказки, которые слышали от своих бабушек в детстве. Передача культурных особенностей сказочного творчества северных народов, открыло в детях интерес изучения сказок народа манси и зырян. Потому что в программах дошкольного образования изучаются только русско-народные сказки. Сложности возникли в выборе зырянской сказки. Они отличаются от мансийских, они имеют очень длинный сюжет. </w:t>
      </w:r>
    </w:p>
    <w:p w14:paraId="7489C3F2" w14:textId="019484DE" w:rsidR="001A04E5" w:rsidRPr="00107903" w:rsidRDefault="001A04E5" w:rsidP="001A04E5">
      <w:pPr>
        <w:spacing w:line="276" w:lineRule="auto"/>
        <w:ind w:firstLine="709"/>
        <w:jc w:val="both"/>
        <w:rPr>
          <w:sz w:val="24"/>
          <w:szCs w:val="24"/>
        </w:rPr>
      </w:pPr>
      <w:r w:rsidRPr="00107903">
        <w:rPr>
          <w:sz w:val="24"/>
          <w:szCs w:val="24"/>
        </w:rPr>
        <w:t xml:space="preserve">Заключили договор №19 от 15 апреля 2024 года на изготовление теневого театра по мансийской и зырянской сказкам, </w:t>
      </w:r>
      <w:r w:rsidRPr="00107903">
        <w:rPr>
          <w:sz w:val="24"/>
          <w:szCs w:val="24"/>
        </w:rPr>
        <w:t>комплект,</w:t>
      </w:r>
      <w:r w:rsidRPr="00107903">
        <w:rPr>
          <w:sz w:val="24"/>
          <w:szCs w:val="24"/>
        </w:rPr>
        <w:t xml:space="preserve"> состоящий из 10 картин, сделанных из дерева, лампы и упаковки. Дизайнер отрисовал сюжет картинок. В мастерской «</w:t>
      </w:r>
      <w:proofErr w:type="spellStart"/>
      <w:r w:rsidRPr="00107903">
        <w:rPr>
          <w:sz w:val="24"/>
          <w:szCs w:val="24"/>
        </w:rPr>
        <w:t>Люкан</w:t>
      </w:r>
      <w:proofErr w:type="spellEnd"/>
      <w:r w:rsidRPr="00107903">
        <w:rPr>
          <w:sz w:val="24"/>
          <w:szCs w:val="24"/>
        </w:rPr>
        <w:t>» изготовили из дерева картины сказок.</w:t>
      </w:r>
    </w:p>
    <w:p w14:paraId="642F0BFB" w14:textId="0EDAC50E" w:rsidR="001A04E5" w:rsidRDefault="001A04E5" w:rsidP="001A04E5">
      <w:pPr>
        <w:spacing w:line="276" w:lineRule="auto"/>
        <w:ind w:firstLine="709"/>
        <w:jc w:val="both"/>
        <w:rPr>
          <w:color w:val="000000"/>
          <w:sz w:val="24"/>
          <w:szCs w:val="24"/>
        </w:rPr>
      </w:pPr>
      <w:r w:rsidRPr="00121790">
        <w:rPr>
          <w:sz w:val="24"/>
          <w:szCs w:val="24"/>
        </w:rPr>
        <w:t>Провели мероприятия «Сказки в темноте» – занятие-сказкотерапия по мансийской и зырянской сказкам страшилкам в темноте.</w:t>
      </w:r>
      <w:r w:rsidRPr="00121790">
        <w:rPr>
          <w:color w:val="000000"/>
          <w:sz w:val="18"/>
          <w:szCs w:val="18"/>
        </w:rPr>
        <w:t xml:space="preserve"> </w:t>
      </w:r>
      <w:r w:rsidRPr="00121790">
        <w:rPr>
          <w:color w:val="000000"/>
          <w:sz w:val="24"/>
          <w:szCs w:val="24"/>
        </w:rPr>
        <w:t>В рамках занятий дети познакомились со сказками страшилками, научились воспринимать темноту, как естественное время суток.</w:t>
      </w:r>
      <w:r>
        <w:rPr>
          <w:color w:val="000000"/>
          <w:sz w:val="24"/>
          <w:szCs w:val="24"/>
        </w:rPr>
        <w:t xml:space="preserve"> Пошли по принципу "дети-детям". Дети подготовительного возраста выучили сказку по ролям и показали сказку по теневому театру детям младшего и среднего дошкольного возраста. Этот положительный опыт навеял нам необходимость продолжать работать в этом направлении. В дальнейшем мы хотим приобрести теневой театр именно в формате ширмы и отдельных героев к сказкам, чтобы давать представление по </w:t>
      </w:r>
      <w:r>
        <w:rPr>
          <w:color w:val="000000"/>
          <w:sz w:val="24"/>
          <w:szCs w:val="24"/>
        </w:rPr>
        <w:t>ролям,</w:t>
      </w:r>
      <w:r>
        <w:rPr>
          <w:color w:val="000000"/>
          <w:sz w:val="24"/>
          <w:szCs w:val="24"/>
        </w:rPr>
        <w:t xml:space="preserve"> где каждый ребенок будет сам жестикулировать своим героем, озвучивать его, учиться мастерству теневого театра. Выбирать сюжеты, разучивать роли, уметь жестикулировать героем для умения передать эмоции. Планируем давать представления для зрителей, для детей раннего и младшего возраста, для родительской общественности и для детей школы начального звена. </w:t>
      </w:r>
    </w:p>
    <w:p w14:paraId="4C9B10FB" w14:textId="77777777" w:rsidR="001A04E5" w:rsidRDefault="001A04E5" w:rsidP="001A04E5">
      <w:pPr>
        <w:spacing w:line="276" w:lineRule="auto"/>
        <w:ind w:firstLine="709"/>
        <w:jc w:val="both"/>
        <w:rPr>
          <w:color w:val="000000"/>
          <w:sz w:val="24"/>
          <w:szCs w:val="24"/>
        </w:rPr>
      </w:pPr>
    </w:p>
    <w:p w14:paraId="0638F375" w14:textId="05D3D613" w:rsidR="00C24048" w:rsidRDefault="001A04E5">
      <w:r>
        <w:rPr>
          <w:noProof/>
          <w14:ligatures w14:val="standardContextual"/>
        </w:rPr>
        <w:drawing>
          <wp:inline distT="0" distB="0" distL="0" distR="0" wp14:anchorId="71688C21" wp14:editId="7F759902">
            <wp:extent cx="2028825" cy="1521619"/>
            <wp:effectExtent l="76200" t="76200" r="123825" b="135890"/>
            <wp:docPr id="18434" name="Picture 2" descr="F:\Среда возможностей Фонд Тимченко\Теневой театр\-ukWco_ti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descr="F:\Среда возможностей Фонд Тимченко\Теневой театр\-ukWco_tiUU.jpg"/>
                    <pic:cNvPicPr>
                      <a:picLocks noChangeAspect="1" noChangeArrowheads="1"/>
                    </pic:cNvPicPr>
                  </pic:nvPicPr>
                  <pic:blipFill>
                    <a:blip r:embed="rId5" cstate="print"/>
                    <a:srcRect/>
                    <a:stretch>
                      <a:fillRect/>
                    </a:stretch>
                  </pic:blipFill>
                  <pic:spPr bwMode="auto">
                    <a:xfrm>
                      <a:off x="0" y="0"/>
                      <a:ext cx="2031337" cy="1523503"/>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r w:rsidRPr="001A04E5">
        <w:rPr>
          <w:noProof/>
          <w14:ligatures w14:val="standardContextual"/>
        </w:rPr>
        <w:t xml:space="preserve"> </w:t>
      </w:r>
      <w:r>
        <w:rPr>
          <w:noProof/>
          <w14:ligatures w14:val="standardContextual"/>
        </w:rPr>
        <w:drawing>
          <wp:inline distT="0" distB="0" distL="0" distR="0" wp14:anchorId="5B137FDB" wp14:editId="20316FF0">
            <wp:extent cx="2103120" cy="1551051"/>
            <wp:effectExtent l="76200" t="76200" r="125730" b="125730"/>
            <wp:docPr id="18436" name="Picture 4" descr="F:\Среда возможностей Фонд Тимченко\Теневой театр\hjT7m3YW7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4" descr="F:\Среда возможностей Фонд Тимченко\Теневой театр\hjT7m3YW7LY.jpg"/>
                    <pic:cNvPicPr>
                      <a:picLocks noChangeAspect="1" noChangeArrowheads="1"/>
                    </pic:cNvPicPr>
                  </pic:nvPicPr>
                  <pic:blipFill>
                    <a:blip r:embed="rId6" cstate="print"/>
                    <a:srcRect/>
                    <a:stretch>
                      <a:fillRect/>
                    </a:stretch>
                  </pic:blipFill>
                  <pic:spPr bwMode="auto">
                    <a:xfrm>
                      <a:off x="0" y="0"/>
                      <a:ext cx="2111991" cy="1557594"/>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r w:rsidRPr="001A04E5">
        <w:rPr>
          <w:noProof/>
          <w14:ligatures w14:val="standardContextual"/>
        </w:rPr>
        <w:t xml:space="preserve"> </w:t>
      </w:r>
      <w:r>
        <w:rPr>
          <w:noProof/>
          <w14:ligatures w14:val="standardContextual"/>
        </w:rPr>
        <w:drawing>
          <wp:inline distT="0" distB="0" distL="0" distR="0" wp14:anchorId="468147E4" wp14:editId="7FA8E35F">
            <wp:extent cx="2028825" cy="1521619"/>
            <wp:effectExtent l="76200" t="76200" r="123825" b="135890"/>
            <wp:docPr id="2055" name="Picture 7" descr="C:\Users\UseR\Desktop\Оленёнок\2024\ПРОЕКТЫ ГРАНТЫ\Среда возможностей Фонд Тимченко\Отчет № 3 ИТОГОВЫЙ\Приложение 11. Фотографии по проекту\Теневой театр\Занятие с использованием теневого театра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C:\Users\UseR\Desktop\Оленёнок\2024\ПРОЕКТЫ ГРАНТЫ\Среда возможностей Фонд Тимченко\Отчет № 3 ИТОГОВЫЙ\Приложение 11. Фотографии по проекту\Теневой театр\Занятие с использованием теневого театра 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195" cy="1526396"/>
                    </a:xfrm>
                    <a:prstGeom prst="rect">
                      <a:avLst/>
                    </a:prstGeom>
                    <a:ln w="38100" cap="sq">
                      <a:solidFill>
                        <a:srgbClr val="00B050"/>
                      </a:solidFill>
                      <a:miter lim="800000"/>
                    </a:ln>
                    <a:effectLst>
                      <a:outerShdw blurRad="57150" dist="50800" dir="2700000" algn="tl" rotWithShape="0">
                        <a:srgbClr val="000000">
                          <a:alpha val="40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sidRPr="001A04E5">
        <w:rPr>
          <w:noProof/>
          <w14:ligatures w14:val="standardContextual"/>
        </w:rPr>
        <w:t xml:space="preserve"> </w:t>
      </w:r>
      <w:r>
        <w:rPr>
          <w:noProof/>
          <w14:ligatures w14:val="standardContextual"/>
        </w:rPr>
        <w:drawing>
          <wp:inline distT="0" distB="0" distL="0" distR="0" wp14:anchorId="7B36C7F5" wp14:editId="2F2027F0">
            <wp:extent cx="2145665" cy="1609249"/>
            <wp:effectExtent l="57150" t="57150" r="140335" b="124460"/>
            <wp:docPr id="2056" name="Picture 8" descr="C:\Users\UseR\Desktop\Оленёнок\2024\ПРОЕКТЫ ГРАНТЫ\Среда возможностей Фонд Тимченко\Отчет № 3 ИТОГОВЫЙ\Приложение 11. Фотографии по проекту\Теневой театр\Занятие с использованием теневого театра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C:\Users\UseR\Desktop\Оленёнок\2024\ПРОЕКТЫ ГРАНТЫ\Среда возможностей Фонд Тимченко\Отчет № 3 ИТОГОВЫЙ\Приложение 11. Фотографии по проекту\Теневой театр\Занятие с использованием теневого театра 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051" cy="1613288"/>
                    </a:xfrm>
                    <a:prstGeom prst="rect">
                      <a:avLst/>
                    </a:prstGeom>
                    <a:ln w="28575" cap="sq">
                      <a:solidFill>
                        <a:srgbClr val="00B050"/>
                      </a:solidFill>
                      <a:miter lim="800000"/>
                    </a:ln>
                    <a:effectLst>
                      <a:outerShdw blurRad="57150" dist="50800" dir="2700000" algn="tl" rotWithShape="0">
                        <a:srgbClr val="000000">
                          <a:alpha val="4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sectPr w:rsidR="00C24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C793F"/>
    <w:multiLevelType w:val="hybridMultilevel"/>
    <w:tmpl w:val="9FA4E570"/>
    <w:lvl w:ilvl="0" w:tplc="04190001">
      <w:start w:val="1"/>
      <w:numFmt w:val="bullet"/>
      <w:lvlText w:val=""/>
      <w:lvlJc w:val="left"/>
      <w:pPr>
        <w:ind w:left="2119" w:hanging="135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350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E5"/>
    <w:rsid w:val="001A04E5"/>
    <w:rsid w:val="0044623A"/>
    <w:rsid w:val="006E76D6"/>
    <w:rsid w:val="00C24048"/>
    <w:rsid w:val="00CC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F679"/>
  <w15:chartTrackingRefBased/>
  <w15:docId w15:val="{7ADC5E20-B217-467F-87AD-CBCA6567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4E5"/>
    <w:pPr>
      <w:widowControl w:val="0"/>
      <w:spacing w:after="0" w:line="240" w:lineRule="auto"/>
    </w:pPr>
    <w:rPr>
      <w:rFonts w:ascii="Times New Roman" w:eastAsia="Times New Roman" w:hAnsi="Times New Roman" w:cs="Times New Roman"/>
      <w:kern w:val="0"/>
      <w:sz w:val="20"/>
      <w:szCs w:val="20"/>
      <w:lang w:eastAsia="zh-CN"/>
      <w14:ligatures w14:val="none"/>
    </w:rPr>
  </w:style>
  <w:style w:type="paragraph" w:styleId="1">
    <w:name w:val="heading 1"/>
    <w:basedOn w:val="a"/>
    <w:next w:val="a"/>
    <w:link w:val="10"/>
    <w:uiPriority w:val="9"/>
    <w:qFormat/>
    <w:rsid w:val="001A04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A04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A04E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A04E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A04E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A04E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A04E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A04E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A04E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4E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A04E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A04E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A04E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A04E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A04E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A04E5"/>
    <w:rPr>
      <w:rFonts w:eastAsiaTheme="majorEastAsia" w:cstheme="majorBidi"/>
      <w:color w:val="595959" w:themeColor="text1" w:themeTint="A6"/>
    </w:rPr>
  </w:style>
  <w:style w:type="character" w:customStyle="1" w:styleId="80">
    <w:name w:val="Заголовок 8 Знак"/>
    <w:basedOn w:val="a0"/>
    <w:link w:val="8"/>
    <w:uiPriority w:val="9"/>
    <w:semiHidden/>
    <w:rsid w:val="001A04E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A04E5"/>
    <w:rPr>
      <w:rFonts w:eastAsiaTheme="majorEastAsia" w:cstheme="majorBidi"/>
      <w:color w:val="272727" w:themeColor="text1" w:themeTint="D8"/>
    </w:rPr>
  </w:style>
  <w:style w:type="paragraph" w:styleId="a3">
    <w:name w:val="Title"/>
    <w:basedOn w:val="a"/>
    <w:next w:val="a"/>
    <w:link w:val="a4"/>
    <w:uiPriority w:val="10"/>
    <w:qFormat/>
    <w:rsid w:val="001A04E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A0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4E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A04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A04E5"/>
    <w:pPr>
      <w:spacing w:before="160"/>
      <w:jc w:val="center"/>
    </w:pPr>
    <w:rPr>
      <w:i/>
      <w:iCs/>
      <w:color w:val="404040" w:themeColor="text1" w:themeTint="BF"/>
    </w:rPr>
  </w:style>
  <w:style w:type="character" w:customStyle="1" w:styleId="22">
    <w:name w:val="Цитата 2 Знак"/>
    <w:basedOn w:val="a0"/>
    <w:link w:val="21"/>
    <w:uiPriority w:val="29"/>
    <w:rsid w:val="001A04E5"/>
    <w:rPr>
      <w:i/>
      <w:iCs/>
      <w:color w:val="404040" w:themeColor="text1" w:themeTint="BF"/>
    </w:rPr>
  </w:style>
  <w:style w:type="paragraph" w:styleId="a7">
    <w:name w:val="List Paragraph"/>
    <w:basedOn w:val="a"/>
    <w:uiPriority w:val="34"/>
    <w:qFormat/>
    <w:rsid w:val="001A04E5"/>
    <w:pPr>
      <w:ind w:left="720"/>
      <w:contextualSpacing/>
    </w:pPr>
  </w:style>
  <w:style w:type="character" w:styleId="a8">
    <w:name w:val="Intense Emphasis"/>
    <w:basedOn w:val="a0"/>
    <w:uiPriority w:val="21"/>
    <w:qFormat/>
    <w:rsid w:val="001A04E5"/>
    <w:rPr>
      <w:i/>
      <w:iCs/>
      <w:color w:val="2F5496" w:themeColor="accent1" w:themeShade="BF"/>
    </w:rPr>
  </w:style>
  <w:style w:type="paragraph" w:styleId="a9">
    <w:name w:val="Intense Quote"/>
    <w:basedOn w:val="a"/>
    <w:next w:val="a"/>
    <w:link w:val="aa"/>
    <w:uiPriority w:val="30"/>
    <w:qFormat/>
    <w:rsid w:val="001A0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A04E5"/>
    <w:rPr>
      <w:i/>
      <w:iCs/>
      <w:color w:val="2F5496" w:themeColor="accent1" w:themeShade="BF"/>
    </w:rPr>
  </w:style>
  <w:style w:type="character" w:styleId="ab">
    <w:name w:val="Intense Reference"/>
    <w:basedOn w:val="a0"/>
    <w:uiPriority w:val="32"/>
    <w:qFormat/>
    <w:rsid w:val="001A0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2025-02-11T13:03:00Z</dcterms:created>
  <dcterms:modified xsi:type="dcterms:W3CDTF">2025-02-11T13:05:00Z</dcterms:modified>
</cp:coreProperties>
</file>